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Основной текст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/>
          <w:b w:val="1"/>
          <w:bCs w:val="1"/>
          <w:sz w:val="28"/>
          <w:szCs w:val="28"/>
          <w:rtl w:val="0"/>
        </w:rPr>
        <w:t xml:space="preserve">2.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План подготовки объектов жилищного фонда к отопительному периоду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2026</w:t>
      </w:r>
      <w:r>
        <w:rPr>
          <w:rFonts w:ascii="Times New Roman" w:hAnsi="Times New Roman"/>
          <w:b w:val="1"/>
          <w:bCs w:val="1"/>
          <w:sz w:val="28"/>
          <w:szCs w:val="28"/>
          <w:rtl w:val="0"/>
        </w:rPr>
        <w:t>-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2027</w:t>
      </w:r>
      <w:r>
        <w:rPr>
          <w:rFonts w:ascii="Times New Roman" w:hAnsi="Times New Roman"/>
          <w:b w:val="1"/>
          <w:bCs w:val="1"/>
          <w:sz w:val="28"/>
          <w:szCs w:val="28"/>
          <w:rtl w:val="0"/>
        </w:rPr>
        <w:t xml:space="preserve">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годов </w:t>
      </w:r>
    </w:p>
    <w:p>
      <w:pPr>
        <w:pStyle w:val="Основной текст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shd w:val="nil" w:color="auto" w:fill="auto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администрации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Советского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района г</w:t>
      </w:r>
      <w:r>
        <w:rPr>
          <w:rFonts w:ascii="Times New Roman" w:hAnsi="Times New Roman"/>
          <w:b w:val="1"/>
          <w:bCs w:val="1"/>
          <w:sz w:val="28"/>
          <w:szCs w:val="28"/>
          <w:rtl w:val="0"/>
        </w:rPr>
        <w:t>.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о</w:t>
      </w:r>
      <w:r>
        <w:rPr>
          <w:rFonts w:ascii="Times New Roman" w:hAnsi="Times New Roman"/>
          <w:b w:val="1"/>
          <w:bCs w:val="1"/>
          <w:sz w:val="28"/>
          <w:szCs w:val="28"/>
          <w:rtl w:val="0"/>
        </w:rPr>
        <w:t>.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b w:val="1"/>
          <w:bCs w:val="1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Нижнего Новгорода</w:t>
      </w:r>
    </w:p>
    <w:p>
      <w:pPr>
        <w:pStyle w:val="Основной текст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15210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565"/>
        <w:gridCol w:w="818"/>
        <w:gridCol w:w="1495"/>
        <w:gridCol w:w="952"/>
        <w:gridCol w:w="953"/>
        <w:gridCol w:w="953"/>
        <w:gridCol w:w="1090"/>
        <w:gridCol w:w="1089"/>
        <w:gridCol w:w="1087"/>
        <w:gridCol w:w="1089"/>
        <w:gridCol w:w="1090"/>
        <w:gridCol w:w="952"/>
        <w:gridCol w:w="1089"/>
        <w:gridCol w:w="988"/>
      </w:tblGrid>
      <w:tr>
        <w:tblPrEx>
          <w:shd w:val="clear" w:color="auto" w:fill="cdd4e9"/>
        </w:tblPrEx>
        <w:trPr>
          <w:trHeight w:val="363" w:hRule="atLeast"/>
        </w:trPr>
        <w:tc>
          <w:tcPr>
            <w:tcW w:type="dxa" w:w="1565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Адрес</w:t>
            </w:r>
          </w:p>
        </w:tc>
        <w:tc>
          <w:tcPr>
            <w:tcW w:type="dxa" w:w="818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№ дома</w:t>
            </w:r>
          </w:p>
        </w:tc>
        <w:tc>
          <w:tcPr>
            <w:tcW w:type="dxa" w:w="149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 xml:space="preserve">Управляющая </w:t>
            </w:r>
            <w:r>
              <w:rPr>
                <w:rFonts w:ascii="Times New Roman" w:hAnsi="Times New Roman"/>
                <w:sz w:val="16"/>
                <w:szCs w:val="16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обслуживающая</w:t>
            </w:r>
            <w:r>
              <w:rPr>
                <w:rFonts w:ascii="Times New Roman" w:hAnsi="Times New Roman"/>
                <w:sz w:val="16"/>
                <w:szCs w:val="16"/>
                <w:shd w:val="nil" w:color="auto" w:fill="auto"/>
                <w:rtl w:val="0"/>
                <w:lang w:val="ru-RU"/>
              </w:rPr>
              <w:t xml:space="preserve">) </w:t>
            </w: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организация</w:t>
            </w:r>
          </w:p>
        </w:tc>
        <w:tc>
          <w:tcPr>
            <w:tcW w:type="dxa" w:w="190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Тип системы теплоснабжения</w:t>
            </w:r>
          </w:p>
        </w:tc>
        <w:tc>
          <w:tcPr>
            <w:tcW w:type="dxa" w:w="9427"/>
            <w:gridSpan w:val="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Мероприятия</w:t>
            </w:r>
          </w:p>
        </w:tc>
      </w:tr>
      <w:tr>
        <w:tblPrEx>
          <w:shd w:val="clear" w:color="auto" w:fill="cdd4e9"/>
        </w:tblPrEx>
        <w:trPr>
          <w:trHeight w:val="4611" w:hRule="atLeast"/>
        </w:trPr>
        <w:tc>
          <w:tcPr>
            <w:tcW w:type="dxa" w:w="1565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18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49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952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 xml:space="preserve">Дом с центральным отоплением </w:t>
            </w:r>
            <w:r>
              <w:rPr>
                <w:rFonts w:ascii="Times New Roman" w:hAnsi="Times New Roman"/>
                <w:sz w:val="16"/>
                <w:szCs w:val="16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ТЭЦ</w:t>
            </w:r>
            <w:r>
              <w:rPr>
                <w:rFonts w:ascii="Times New Roman" w:hAnsi="Times New Roman"/>
                <w:sz w:val="16"/>
                <w:szCs w:val="16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котельная №</w:t>
            </w:r>
            <w:r>
              <w:rPr>
                <w:rFonts w:ascii="Times New Roman" w:hAnsi="Times New Roman"/>
                <w:sz w:val="16"/>
                <w:szCs w:val="16"/>
                <w:shd w:val="nil" w:color="auto" w:fill="auto"/>
                <w:rtl w:val="0"/>
                <w:lang w:val="ru-RU"/>
              </w:rPr>
              <w:t>)</w:t>
            </w:r>
          </w:p>
        </w:tc>
        <w:tc>
          <w:tcPr>
            <w:tcW w:type="dxa" w:w="952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  <w:rPr>
                <w:rFonts w:ascii="Times New Roman" w:cs="Times New Roman" w:hAnsi="Times New Roman" w:eastAsia="Times New Roman"/>
                <w:sz w:val="16"/>
                <w:szCs w:val="16"/>
                <w:shd w:val="nil" w:color="auto" w:fill="auto"/>
              </w:rPr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Дом с индивидуальным отоплением</w:t>
            </w:r>
          </w:p>
          <w:p>
            <w:pPr>
              <w:pStyle w:val="Основной текст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/>
                <w:sz w:val="16"/>
                <w:szCs w:val="16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крышные</w:t>
            </w:r>
            <w:r>
              <w:rPr>
                <w:rFonts w:ascii="Times New Roman" w:hAnsi="Times New Roman"/>
                <w:sz w:val="16"/>
                <w:szCs w:val="16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встроенные</w:t>
            </w:r>
            <w:r>
              <w:rPr>
                <w:rFonts w:ascii="Times New Roman" w:hAnsi="Times New Roman"/>
                <w:sz w:val="16"/>
                <w:szCs w:val="16"/>
                <w:shd w:val="nil" w:color="auto" w:fill="auto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пристроенные котельные</w:t>
            </w:r>
            <w:r>
              <w:rPr>
                <w:rFonts w:ascii="Times New Roman" w:hAnsi="Times New Roman"/>
                <w:sz w:val="16"/>
                <w:szCs w:val="16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АГВ</w:t>
            </w:r>
            <w:r>
              <w:rPr>
                <w:rFonts w:ascii="Times New Roman" w:hAnsi="Times New Roman"/>
                <w:sz w:val="16"/>
                <w:szCs w:val="16"/>
                <w:shd w:val="nil" w:color="auto" w:fill="auto"/>
                <w:rtl w:val="0"/>
                <w:lang w:val="ru-RU"/>
              </w:rPr>
              <w:t>)</w:t>
            </w:r>
          </w:p>
        </w:tc>
        <w:tc>
          <w:tcPr>
            <w:tcW w:type="dxa" w:w="9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Ремонт системы теплоснабжения</w:t>
            </w:r>
          </w:p>
        </w:tc>
        <w:tc>
          <w:tcPr>
            <w:tcW w:type="dxa" w:w="10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Ремонт тепловой изоляции</w:t>
            </w:r>
          </w:p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Промывка и опрессовка системы теплоснабжения</w:t>
            </w:r>
            <w:r>
              <w:rPr>
                <w:rFonts w:ascii="Times New Roman" w:hAnsi="Times New Roman"/>
                <w:sz w:val="16"/>
                <w:szCs w:val="16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ревизия запорной арматуры</w:t>
            </w:r>
          </w:p>
        </w:tc>
        <w:tc>
          <w:tcPr>
            <w:tcW w:type="dxa" w:w="1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Ревизия</w:t>
            </w:r>
            <w:r>
              <w:rPr>
                <w:rFonts w:ascii="Times New Roman" w:hAnsi="Times New Roman"/>
                <w:sz w:val="16"/>
                <w:szCs w:val="16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 xml:space="preserve">сдача элеваторных узлов и дроссельных </w:t>
            </w:r>
            <w:r>
              <w:rPr>
                <w:rFonts w:ascii="Times New Roman" w:hAnsi="Times New Roman"/>
                <w:sz w:val="16"/>
                <w:szCs w:val="16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ограничительных</w:t>
            </w:r>
            <w:r>
              <w:rPr>
                <w:rFonts w:ascii="Times New Roman" w:hAnsi="Times New Roman"/>
                <w:sz w:val="16"/>
                <w:szCs w:val="16"/>
                <w:shd w:val="nil" w:color="auto" w:fill="auto"/>
                <w:rtl w:val="0"/>
                <w:lang w:val="ru-RU"/>
              </w:rPr>
              <w:t xml:space="preserve">) </w:t>
            </w: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устройств</w:t>
            </w:r>
          </w:p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Поверка узла учета</w:t>
            </w:r>
          </w:p>
        </w:tc>
        <w:tc>
          <w:tcPr>
            <w:tcW w:type="dxa" w:w="10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Проверка состояния дымовых и вентиляционных каналов</w:t>
            </w:r>
          </w:p>
        </w:tc>
        <w:tc>
          <w:tcPr>
            <w:tcW w:type="dxa" w:w="9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Протокол по замеру сопротивления изоляции электросетей</w:t>
            </w:r>
          </w:p>
        </w:tc>
        <w:tc>
          <w:tcPr>
            <w:tcW w:type="dxa" w:w="10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>
        <w:tblPrEx>
          <w:shd w:val="clear" w:color="auto" w:fill="cdd4e9"/>
        </w:tblPrEx>
        <w:trPr>
          <w:trHeight w:val="183" w:hRule="atLeast"/>
        </w:trPr>
        <w:tc>
          <w:tcPr>
            <w:tcW w:type="dxa" w:w="1565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18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49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95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95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9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дата</w:t>
            </w:r>
          </w:p>
        </w:tc>
        <w:tc>
          <w:tcPr>
            <w:tcW w:type="dxa" w:w="10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дата</w:t>
            </w:r>
          </w:p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дата</w:t>
            </w:r>
          </w:p>
        </w:tc>
        <w:tc>
          <w:tcPr>
            <w:tcW w:type="dxa" w:w="1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дата</w:t>
            </w:r>
          </w:p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дата</w:t>
            </w:r>
          </w:p>
        </w:tc>
        <w:tc>
          <w:tcPr>
            <w:tcW w:type="dxa" w:w="10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дата</w:t>
            </w:r>
          </w:p>
        </w:tc>
        <w:tc>
          <w:tcPr>
            <w:tcW w:type="dxa" w:w="9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дата</w:t>
            </w:r>
          </w:p>
        </w:tc>
        <w:tc>
          <w:tcPr>
            <w:tcW w:type="dxa" w:w="10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дата</w:t>
            </w:r>
          </w:p>
        </w:tc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jc w:val="center"/>
            </w:pPr>
            <w:r>
              <w:rPr>
                <w:rFonts w:ascii="Times New Roman" w:hAnsi="Times New Roman" w:hint="default"/>
                <w:sz w:val="16"/>
                <w:szCs w:val="16"/>
                <w:shd w:val="nil" w:color="auto" w:fill="auto"/>
                <w:rtl w:val="0"/>
                <w:lang w:val="ru-RU"/>
              </w:rPr>
              <w:t>дата</w:t>
            </w:r>
          </w:p>
        </w:tc>
      </w:tr>
      <w:tr>
        <w:tblPrEx>
          <w:shd w:val="clear" w:color="auto" w:fill="cdd4e9"/>
        </w:tblPrEx>
        <w:trPr>
          <w:trHeight w:val="723" w:hRule="atLeast"/>
        </w:trPr>
        <w:tc>
          <w:tcPr>
            <w:tcW w:type="dxa" w:w="15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Г</w:t>
            </w: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. </w:t>
            </w: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</w:t>
            </w: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. </w:t>
            </w: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Новгород</w:t>
            </w: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ул</w:t>
            </w: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. </w:t>
            </w: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Родниковая</w:t>
            </w:r>
          </w:p>
        </w:tc>
        <w:tc>
          <w:tcPr>
            <w:tcW w:type="dxa" w:w="8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а</w:t>
            </w:r>
          </w:p>
        </w:tc>
        <w:tc>
          <w:tcPr>
            <w:tcW w:type="dxa" w:w="14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ТСЖ «Родниковая</w:t>
            </w: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-6</w:t>
            </w: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а»</w:t>
            </w:r>
          </w:p>
        </w:tc>
        <w:tc>
          <w:tcPr>
            <w:tcW w:type="dxa" w:w="9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suppressAutoHyphens w:val="0"/>
              <w:jc w:val="both"/>
            </w:pP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>Котельная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>ул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 xml:space="preserve">Ветеринарная 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5</w:t>
            </w: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>А</w:t>
            </w:r>
          </w:p>
        </w:tc>
        <w:tc>
          <w:tcPr>
            <w:tcW w:type="dxa" w:w="9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-</w:t>
            </w:r>
          </w:p>
        </w:tc>
        <w:tc>
          <w:tcPr>
            <w:tcW w:type="dxa" w:w="9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suppressAutoHyphens w:val="0"/>
            </w:pP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 xml:space="preserve">До 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15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.08.202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6</w:t>
            </w: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>г</w:t>
            </w:r>
          </w:p>
        </w:tc>
        <w:tc>
          <w:tcPr>
            <w:tcW w:type="dxa" w:w="10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suppressAutoHyphens w:val="0"/>
            </w:pP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 xml:space="preserve">До 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15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.08.202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6</w:t>
            </w: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>г</w:t>
            </w:r>
          </w:p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suppressAutoHyphens w:val="0"/>
            </w:pP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 xml:space="preserve">До 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15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.08.202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6</w:t>
            </w: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>г</w:t>
            </w:r>
          </w:p>
        </w:tc>
        <w:tc>
          <w:tcPr>
            <w:tcW w:type="dxa" w:w="1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suppressAutoHyphens w:val="0"/>
            </w:pP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 xml:space="preserve">До 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15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.08.202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6</w:t>
            </w: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>г</w:t>
            </w:r>
          </w:p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suppressAutoHyphens w:val="0"/>
            </w:pP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 xml:space="preserve">До 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15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.08.202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6</w:t>
            </w: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>г</w:t>
            </w:r>
          </w:p>
        </w:tc>
        <w:tc>
          <w:tcPr>
            <w:tcW w:type="dxa" w:w="10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suppressAutoHyphens w:val="0"/>
            </w:pP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 xml:space="preserve">До 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15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.08.202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6</w:t>
            </w: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>г</w:t>
            </w:r>
          </w:p>
        </w:tc>
        <w:tc>
          <w:tcPr>
            <w:tcW w:type="dxa" w:w="9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suppressAutoHyphens w:val="0"/>
            </w:pP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 xml:space="preserve">До 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15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.08.202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6</w:t>
            </w: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>г</w:t>
            </w:r>
          </w:p>
        </w:tc>
        <w:tc>
          <w:tcPr>
            <w:tcW w:type="dxa" w:w="10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suppressAutoHyphens w:val="0"/>
            </w:pP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 xml:space="preserve">До 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15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.08.202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6</w:t>
            </w: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>г</w:t>
            </w:r>
          </w:p>
        </w:tc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ой текст"/>
              <w:suppressAutoHyphens w:val="0"/>
            </w:pP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 xml:space="preserve">До 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15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.08.202</w:t>
            </w:r>
            <w:r>
              <w:rPr>
                <w:rFonts w:ascii="Times New Roman" w:hAnsi="Times New Roman"/>
                <w:sz w:val="16"/>
                <w:szCs w:val="16"/>
                <w:rtl w:val="0"/>
                <w:lang w:val="ru-RU"/>
              </w:rPr>
              <w:t>6</w:t>
            </w:r>
            <w:r>
              <w:rPr>
                <w:rFonts w:ascii="Times New Roman" w:hAnsi="Times New Roman" w:hint="default"/>
                <w:sz w:val="16"/>
                <w:szCs w:val="16"/>
                <w:rtl w:val="0"/>
                <w:lang w:val="ru-RU"/>
              </w:rPr>
              <w:t>г</w:t>
            </w:r>
          </w:p>
        </w:tc>
      </w:tr>
      <w:tr>
        <w:tblPrEx>
          <w:shd w:val="clear" w:color="auto" w:fill="cdd4e9"/>
        </w:tblPrEx>
        <w:trPr>
          <w:trHeight w:val="183" w:hRule="atLeast"/>
        </w:trPr>
        <w:tc>
          <w:tcPr>
            <w:tcW w:type="dxa" w:w="15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4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dd4e9"/>
        </w:tblPrEx>
        <w:trPr>
          <w:trHeight w:val="183" w:hRule="atLeast"/>
        </w:trPr>
        <w:tc>
          <w:tcPr>
            <w:tcW w:type="dxa" w:w="15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4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dd4e9"/>
        </w:tblPrEx>
        <w:trPr>
          <w:trHeight w:val="183" w:hRule="atLeast"/>
        </w:trPr>
        <w:tc>
          <w:tcPr>
            <w:tcW w:type="dxa" w:w="15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4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Основной текст"/>
        <w:widowControl w:val="0"/>
        <w:jc w:val="center"/>
      </w:pPr>
      <w:r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r>
    </w:p>
    <w:sectPr>
      <w:headerReference w:type="default" r:id="rId4"/>
      <w:headerReference w:type="first" r:id="rId5"/>
      <w:footerReference w:type="default" r:id="rId6"/>
      <w:footerReference w:type="first" r:id="rId7"/>
      <w:pgSz w:w="16840" w:h="11900" w:orient="landscape"/>
      <w:pgMar w:top="1418" w:right="851" w:bottom="851" w:left="851" w:header="709" w:footer="0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ahom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Основной текст">
    <w:name w:val="Основной текст"/>
    <w:next w:val="Основной текст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cs="Arial Unicode MS" w:hAnsi="Tahom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